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0" w:after="0"/>
        <w:ind w:firstLine="426"/>
        <w:jc w:val="center"/>
        <w:rPr>
          <w:b/>
          <w:color w:val="000000"/>
          <w:highlight w:val="yellow"/>
        </w:rPr>
      </w:pPr>
      <w:r>
        <w:rPr>
          <w:b/>
          <w:color w:val="000000"/>
          <w:highlight w:val="yellow"/>
        </w:rPr>
        <w:t xml:space="preserve">INSTRUCŢIUNI DE UTILIZARE </w:t>
      </w:r>
    </w:p>
    <w:p>
      <w:pPr>
        <w:spacing w:before="80" w:after="0"/>
        <w:ind w:firstLine="426"/>
        <w:jc w:val="center"/>
        <w:rPr>
          <w:b/>
          <w:color w:val="1B1B1B"/>
          <w:highlight w:val="yellow"/>
        </w:rPr>
      </w:pPr>
      <w:r>
        <w:rPr>
          <w:b/>
          <w:color w:val="000000"/>
          <w:highlight w:val="yellow"/>
        </w:rPr>
        <w:t xml:space="preserve">a biletelor de călătorie gratuită acordate în baza Legii nr. </w:t>
      </w:r>
      <w:r>
        <w:rPr>
          <w:b/>
          <w:color w:val="1B1B1B"/>
          <w:highlight w:val="yellow"/>
        </w:rPr>
        <w:t>448/2006</w:t>
      </w:r>
    </w:p>
    <w:p>
      <w:pPr>
        <w:spacing w:before="80" w:after="0"/>
        <w:ind w:firstLine="426"/>
        <w:jc w:val="both"/>
      </w:pPr>
    </w:p>
    <w:p>
      <w:pPr>
        <w:spacing w:before="26" w:after="0"/>
        <w:ind w:firstLine="426"/>
        <w:jc w:val="both"/>
      </w:pPr>
      <w:r>
        <w:rPr>
          <w:color w:val="000000"/>
        </w:rPr>
        <w:t xml:space="preserve">1. Biletele de călătorie gratuite acordate în baza Legii nr. </w:t>
      </w:r>
      <w:r>
        <w:rPr>
          <w:color w:val="1B1B1B"/>
        </w:rPr>
        <w:t>448/2006</w:t>
      </w:r>
      <w:r>
        <w:rPr>
          <w:color w:val="000000"/>
        </w:rPr>
        <w:t xml:space="preserve"> sunt valabile pentru călătoria cu tren regio şi interregio clasa a II-a. Călătoria cu un tren de rang superior trenului interregio, la clasa I, cu vagon de dormit sau cuşetă se face cu achitarea diferenţelor tarifare şi a tarifului de rezervare dacă este cazul.</w:t>
      </w:r>
    </w:p>
    <w:p>
      <w:pPr>
        <w:spacing w:before="26" w:after="0"/>
        <w:ind w:firstLine="426"/>
        <w:jc w:val="both"/>
      </w:pPr>
      <w:r>
        <w:rPr>
          <w:color w:val="000000"/>
        </w:rPr>
        <w:t>2. Persoanele cu handicap circulă în baza biletelor de călătorie gratuită care, la rubrica "calitate", au tipărit "PH". Persoanele cu handicap care au drept la însoţitor pot călători singure sau împreună cu un singur însoţitor.</w:t>
      </w:r>
    </w:p>
    <w:p>
      <w:pPr>
        <w:spacing w:before="26" w:after="0"/>
        <w:ind w:firstLine="426"/>
        <w:jc w:val="both"/>
      </w:pPr>
      <w:r>
        <w:rPr>
          <w:color w:val="000000"/>
        </w:rPr>
        <w:t>3. Asistenţii personali au dreptul să circule singuri sau însoţind persoana cu handicap în baza biletelor de călătorie gratuite care au tipărit "AP" la rubrica "calitate".</w:t>
      </w:r>
    </w:p>
    <w:p>
      <w:pPr>
        <w:spacing w:before="26" w:after="0"/>
        <w:ind w:firstLine="426"/>
        <w:jc w:val="both"/>
      </w:pPr>
      <w:r>
        <w:rPr>
          <w:color w:val="000000"/>
        </w:rPr>
        <w:t>4. Un însoţitor poate călători numai împreună cu persoana cu handicap în baza biletelor de călătorie gratuită care au tipărit "Î" la rubrica "calitate"; un bilet de călătorie gratuită acordat pentru însoţitor este valabil numai împreună cu un bilet de călătorie pentru persoana cu handicap cu drept la însoţitor; în cazul în care se va procura o legitimaţie de călătorie pentru însoţitor ulterior procurării unei legitimaţii de călătorie pentru titular se va prezenta legitimaţia de călătorie procurată pentru titularul călătoriilor.</w:t>
      </w:r>
    </w:p>
    <w:p>
      <w:pPr>
        <w:spacing w:before="26" w:after="0"/>
        <w:ind w:firstLine="426"/>
        <w:jc w:val="both"/>
      </w:pPr>
      <w:r>
        <w:rPr>
          <w:color w:val="000000"/>
        </w:rPr>
        <w:t>5. Însoţitorul care călătoreşte împreună cu persoana cu handicap poate fi orice persoană.</w:t>
      </w:r>
    </w:p>
    <w:p>
      <w:pPr>
        <w:spacing w:before="26" w:after="0"/>
        <w:ind w:firstLine="426"/>
        <w:jc w:val="both"/>
      </w:pPr>
      <w:r>
        <w:rPr>
          <w:color w:val="000000"/>
        </w:rPr>
        <w:t>6. Biletele de călătorie gratuite sunt valabile pentru călătoria în perioada prevăzută la rubrica "Valabil de la .................", "Până la ........................" sau până la data tipărită la rubrica "Prelungit până la .........................".</w:t>
      </w:r>
    </w:p>
    <w:p>
      <w:pPr>
        <w:spacing w:before="26" w:after="0"/>
        <w:ind w:firstLine="426"/>
        <w:jc w:val="both"/>
      </w:pPr>
    </w:p>
    <w:p>
      <w:pPr>
        <w:spacing w:before="80" w:after="0"/>
        <w:ind w:firstLine="426"/>
        <w:jc w:val="both"/>
      </w:pPr>
      <w:r>
        <w:rPr>
          <w:b/>
          <w:color w:val="000000"/>
        </w:rPr>
        <w:t>7. Biletele de călătorie gratuită sunt tipărite de către DGASPC la următoarele rubrici:</w:t>
      </w:r>
    </w:p>
    <w:p>
      <w:pPr>
        <w:spacing w:before="26" w:after="240"/>
        <w:ind w:firstLine="426"/>
        <w:jc w:val="both"/>
      </w:pPr>
      <w:r>
        <w:rPr>
          <w:color w:val="000000"/>
        </w:rPr>
        <w:t>- "Valabil de la .................", "până la ...................", sub forma zz/ll/aaaa cu perioada de valabilitate în care posesorul biletului poate călători;</w:t>
      </w:r>
    </w:p>
    <w:p>
      <w:pPr>
        <w:spacing w:before="26" w:after="240"/>
        <w:ind w:firstLine="426"/>
        <w:jc w:val="both"/>
      </w:pPr>
      <w:r>
        <w:rPr>
          <w:color w:val="000000"/>
        </w:rPr>
        <w:t>- "Prelungit până la ..................." - data până la care poate fi prelungită perioada de valabilitate;</w:t>
      </w:r>
    </w:p>
    <w:p>
      <w:pPr>
        <w:spacing w:before="26" w:after="240"/>
        <w:ind w:firstLine="426"/>
        <w:jc w:val="both"/>
      </w:pPr>
      <w:r>
        <w:rPr>
          <w:color w:val="000000"/>
        </w:rPr>
        <w:t>- "Calitate", cu calitatea persoanei care îl va folosi: "PH" pe biletele de călătorie gratuită eliberate persoanelor cu handicap; "Î" pe biletele de călătorie gratuită eliberate pentru însoţitori şi "AP" pentru biletele de călătorie gratuită eliberate asistenţilor personal</w:t>
      </w:r>
      <w:bookmarkStart w:id="0" w:name="_GoBack"/>
      <w:bookmarkEnd w:id="0"/>
      <w:r>
        <w:rPr>
          <w:color w:val="000000"/>
        </w:rPr>
        <w:t>i;</w:t>
      </w:r>
    </w:p>
    <w:p>
      <w:pPr>
        <w:spacing w:before="26" w:after="240"/>
        <w:ind w:firstLine="426"/>
        <w:jc w:val="both"/>
      </w:pPr>
      <w:r>
        <w:rPr>
          <w:color w:val="000000"/>
        </w:rPr>
        <w:t>- "CNP" cu codul numeric personal;</w:t>
      </w:r>
    </w:p>
    <w:p>
      <w:pPr>
        <w:spacing w:before="26" w:after="240"/>
        <w:ind w:firstLine="426"/>
        <w:jc w:val="both"/>
      </w:pPr>
      <w:r>
        <w:rPr>
          <w:color w:val="000000"/>
        </w:rPr>
        <w:t>- "Nume" cu numele şi prenumele persoanei cu handicap, pentru biletele de călătorie gratuită eliberate pentru persoanele cu handicap şi pentru însoţitorii acestora, sau numele şi prenumele asistentului personal pentru biletele de călătorie gratuită eliberate asistenţilor personali.</w:t>
      </w:r>
    </w:p>
    <w:p>
      <w:pPr>
        <w:spacing w:before="26" w:after="0"/>
        <w:ind w:firstLine="426"/>
        <w:jc w:val="both"/>
      </w:pPr>
      <w:r>
        <w:rPr>
          <w:color w:val="000000"/>
        </w:rPr>
        <w:t>8. Nu se admit la transport bilete de călătorie gratuită completate manual cu datele precizate la pct. 7 sau cu date tipărite ilizibil.</w:t>
      </w:r>
    </w:p>
    <w:p>
      <w:pPr>
        <w:spacing w:before="26" w:after="0"/>
        <w:ind w:firstLine="426"/>
        <w:jc w:val="both"/>
      </w:pPr>
      <w:r>
        <w:rPr>
          <w:color w:val="000000"/>
        </w:rPr>
        <w:t>9. Pentru efectuarea călătoriei, persoanele cu handicap şi asistenţii personali ai acestora, după caz, vor completa rubricile "de la staţia" şi "până la staţia" atât pe biletul propriu-zis, pe cupoanele statistice, cât şi pe cupoanele anexă, după consultarea prealabilă a operatorului de transport feroviar. Staţiile de cale ferată înscrise vor reprezenta întocmai staţia de urcare, respectiv de coborâre din mijlocul de transport.</w:t>
      </w:r>
    </w:p>
    <w:p>
      <w:pPr>
        <w:spacing w:before="26" w:after="0"/>
        <w:ind w:firstLine="426"/>
        <w:jc w:val="both"/>
      </w:pPr>
      <w:r>
        <w:rPr>
          <w:color w:val="000000"/>
        </w:rPr>
        <w:t>10. Posesorul biletului de călătorie este răspunzător de modul de completare a rubricilor "De la staţia" şi "Până la staţia".</w:t>
      </w:r>
    </w:p>
    <w:p>
      <w:pPr>
        <w:spacing w:before="26" w:after="0"/>
        <w:ind w:firstLine="426"/>
        <w:jc w:val="both"/>
      </w:pPr>
      <w:r>
        <w:rPr>
          <w:color w:val="000000"/>
        </w:rPr>
        <w:t>11. Nu se admit la transport bilete de călătorie gratuită care prezintă ştersături, modificări, corecturi la rubricile "De la staţia" şi "Până la staţia".</w:t>
      </w:r>
    </w:p>
    <w:p>
      <w:pPr>
        <w:spacing w:before="26" w:after="0"/>
        <w:ind w:firstLine="426"/>
        <w:jc w:val="both"/>
      </w:pPr>
      <w:r>
        <w:rPr>
          <w:color w:val="000000"/>
        </w:rPr>
        <w:t>12. La efectuarea unei călătorii, persoana cu handicap, însoţitorul acesteia sau, după caz, asistentul personal vor prezenta biletul de călătorie gratuită integral operatorului de transport interurban. Este interzis a se detaşa una dintre părţile componente de către utilizator.</w:t>
      </w:r>
    </w:p>
    <w:p>
      <w:pPr>
        <w:spacing w:before="26" w:after="0"/>
        <w:ind w:firstLine="426"/>
        <w:jc w:val="both"/>
      </w:pPr>
      <w:r>
        <w:rPr>
          <w:color w:val="000000"/>
        </w:rPr>
        <w:t>13. Biletul de călătorie gratuită poate fi folosit la călătoria cu un operator de transport.</w:t>
      </w:r>
    </w:p>
    <w:p>
      <w:pPr>
        <w:spacing w:before="26" w:after="0"/>
        <w:ind w:firstLine="426"/>
        <w:jc w:val="both"/>
      </w:pPr>
      <w:r>
        <w:rPr>
          <w:color w:val="000000"/>
        </w:rPr>
        <w:t>14. Posesorul biletului de călătorie gratuită poate efectua călătoria cu un singur operator de transport interurban care va reţine cuponul statistic şi, dacă este cazul, cupoanele anexă.</w:t>
      </w:r>
    </w:p>
    <w:p>
      <w:pPr>
        <w:spacing w:before="26" w:after="0"/>
        <w:ind w:firstLine="426"/>
        <w:jc w:val="both"/>
      </w:pPr>
      <w:r>
        <w:rPr>
          <w:color w:val="000000"/>
        </w:rPr>
        <w:t>15. În cazul în care posesorul biletului de călătorie gratuită renunţă la călătorie, acesta va solicita operatorului de transport interurban viza de neutilizare şi restituirea cuponului sau a cuponului anexă, după caz. Cuponul poate fi folosit pentru o altă călătorie, dar numai pentru călătoria înscrisă iniţial. Solicitarea de restituire se poate face numai în cursul lunii în care s-a vizat biletul de călătorie gratuită, la unitatea unde s-a prezentat biletul de călătorie gratuită pentru viză, conform reglementărilor operatorului de transport.</w:t>
      </w:r>
    </w:p>
    <w:p>
      <w:pPr>
        <w:spacing w:before="26" w:after="0"/>
        <w:ind w:firstLine="426"/>
        <w:jc w:val="both"/>
      </w:pPr>
      <w:r>
        <w:rPr>
          <w:color w:val="000000"/>
        </w:rPr>
        <w:t>16. În cazul în care beneficiarul legii nu va solicita renunţarea la călătorie, călătoria se consideră efectuată şi va fi introdusă în borderoul de decont.</w:t>
      </w:r>
    </w:p>
    <w:p>
      <w:pPr>
        <w:spacing w:before="26" w:after="0"/>
        <w:ind w:firstLine="426"/>
        <w:jc w:val="both"/>
      </w:pPr>
      <w:r>
        <w:rPr>
          <w:color w:val="000000"/>
        </w:rPr>
        <w:t>17. Persoanele cu handicap, însoţitorii acestora, precum şi asistenţii personali vor folosi cuponul pentru călătoria între localităţile/staţiile înscrise în rubricile "de la staţia" - "la staţia".</w:t>
      </w:r>
    </w:p>
    <w:p>
      <w:pPr>
        <w:spacing w:before="80" w:after="0"/>
        <w:ind w:firstLine="426"/>
        <w:jc w:val="both"/>
        <w:rPr>
          <w:b w:val="0"/>
          <w:bCs/>
        </w:rPr>
      </w:pPr>
      <w:r>
        <w:rPr>
          <w:b w:val="0"/>
          <w:bCs/>
          <w:color w:val="000000"/>
        </w:rPr>
        <w:t>18. Persoana cu handicap, reprezentantul legal al acesteia şi/sau, după caz, asistentul personal al persoanei cu handicap grav va returna biletele de călătorie gratuită nefolosite integral sau parţial, în următoarele situaţii:</w:t>
      </w:r>
    </w:p>
    <w:p>
      <w:pPr>
        <w:spacing w:after="0"/>
        <w:ind w:firstLine="426"/>
        <w:jc w:val="both"/>
      </w:pPr>
      <w:r>
        <w:rPr>
          <w:color w:val="000000"/>
        </w:rPr>
        <w:t>a) decesul persoanei cu handicap;</w:t>
      </w:r>
    </w:p>
    <w:p>
      <w:pPr>
        <w:spacing w:after="0"/>
        <w:ind w:firstLine="426"/>
        <w:jc w:val="both"/>
      </w:pPr>
      <w:r>
        <w:rPr>
          <w:color w:val="000000"/>
        </w:rPr>
        <w:t>b) încetarea contractului individual de muncă al asistentului personal;</w:t>
      </w:r>
    </w:p>
    <w:p>
      <w:pPr>
        <w:spacing w:after="0"/>
        <w:ind w:firstLine="426"/>
        <w:jc w:val="both"/>
      </w:pPr>
      <w:r>
        <w:rPr>
          <w:color w:val="000000"/>
        </w:rPr>
        <w:t xml:space="preserve">c) obţinerea unui document de încadrare în grad de handicap ulterior celui pe baza căruia au fost eliberate biletele de călătorie gratuită, care stabileşte un grad de handicap care nu se încadrează în prevederile art. 1 din Normele metodologice privind modalitatea de acordare a drepturilor la transport interurban gratuit persoanelor cu handicap, aprobate prin Hotărârea Guvernului nr. </w:t>
      </w:r>
      <w:r>
        <w:rPr>
          <w:color w:val="1B1B1B"/>
        </w:rPr>
        <w:t>1.017/2018</w:t>
      </w:r>
      <w:r>
        <w:rPr>
          <w:color w:val="000000"/>
        </w:rPr>
        <w:t>;</w:t>
      </w:r>
    </w:p>
    <w:p>
      <w:pPr>
        <w:spacing w:after="0"/>
        <w:ind w:firstLine="426"/>
        <w:jc w:val="both"/>
      </w:pPr>
      <w:r>
        <w:rPr>
          <w:color w:val="000000"/>
        </w:rPr>
        <w:t xml:space="preserve">d) schimbarea opţiunii privind angajarea unui asistent personal sau acordarea indemnizaţiei lunare stabilite la art. 43 din Legea nr. </w:t>
      </w:r>
      <w:r>
        <w:rPr>
          <w:color w:val="1B1B1B"/>
        </w:rPr>
        <w:t>448/2006</w:t>
      </w:r>
      <w:r>
        <w:rPr>
          <w:color w:val="000000"/>
        </w:rPr>
        <w:t>, ulterior eliberării biletelor de călătorie gratuită;</w:t>
      </w:r>
    </w:p>
    <w:p>
      <w:pPr>
        <w:spacing w:after="0"/>
        <w:ind w:firstLine="426"/>
        <w:jc w:val="both"/>
      </w:pPr>
      <w:r>
        <w:rPr>
          <w:color w:val="000000"/>
        </w:rPr>
        <w:t>e) schimbarea domiciliului/reşedinţei în alt judeţ sau sector.</w:t>
      </w:r>
    </w:p>
    <w:p>
      <w:pPr>
        <w:spacing w:before="26" w:after="0"/>
        <w:ind w:firstLine="426"/>
        <w:jc w:val="both"/>
        <w:rPr>
          <w:color w:val="000000"/>
        </w:rPr>
      </w:pPr>
      <w:r>
        <w:rPr>
          <w:color w:val="000000"/>
        </w:rPr>
        <w:t>19. În cazul în care DGASPC constată că s-au efectuat călătorii în baza unor bilete de călătorie gratuită care nu au fost returnate conform prevederilor de la pct. 18, DGASPC de apartenenţă va recupera contravaloarea călătoriei de la persoanele respective.</w:t>
      </w:r>
    </w:p>
    <w:p/>
    <w:sectPr>
      <w:pgSz w:w="11906" w:h="16838"/>
      <w:pgMar w:top="960" w:right="746" w:bottom="758" w:left="13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A034E"/>
    <w:rsid w:val="20A50C88"/>
    <w:rsid w:val="4A8A034E"/>
    <w:rsid w:val="6049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2"/>
      <w:lang w:val="ro-RO" w:eastAsia="ro-RO"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2021-02-21T17:29:00Z</dcterms:created>
  <dc:creator>elena.rosu</dc:creator>
  <cp:lastModifiedBy>elena.rosu</cp:lastModifiedBy>
  <dcterms:modified xsi:type="dcterms:W3CDTF">2021-02-26T11:03:18Z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