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tabs>
          <w:tab w:val="center" w:pos="0"/>
        </w:tabs>
        <w:ind w:leftChars="0"/>
        <w:jc w:val="center"/>
        <w:rPr>
          <w:rFonts w:hint="default" w:cs="Times New Roman"/>
          <w:b/>
          <w:bCs/>
          <w:color w:val="auto"/>
          <w:sz w:val="24"/>
          <w:szCs w:val="24"/>
          <w:lang w:val="ro-RO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</w:rPr>
        <w:t>Bibliografie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ro-RO"/>
        </w:rPr>
        <w:t xml:space="preserve"> pentru postul de </w:t>
      </w:r>
      <w:r>
        <w:rPr>
          <w:rFonts w:hint="default" w:cs="Times New Roman"/>
          <w:b/>
          <w:bCs/>
          <w:color w:val="auto"/>
          <w:sz w:val="24"/>
          <w:szCs w:val="24"/>
          <w:lang w:val="ro-RO"/>
        </w:rPr>
        <w:t>Auditor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clasa I gradul profesional </w:t>
      </w:r>
      <w:r>
        <w:rPr>
          <w:rFonts w:hint="default" w:cs="Times New Roman"/>
          <w:b/>
          <w:bCs/>
          <w:color w:val="auto"/>
          <w:sz w:val="24"/>
          <w:szCs w:val="24"/>
          <w:lang w:val="ro-RO"/>
        </w:rPr>
        <w:t xml:space="preserve">Principal și </w:t>
      </w:r>
    </w:p>
    <w:p>
      <w:pPr>
        <w:pStyle w:val="6"/>
        <w:numPr>
          <w:ilvl w:val="0"/>
          <w:numId w:val="0"/>
        </w:numPr>
        <w:tabs>
          <w:tab w:val="center" w:pos="0"/>
        </w:tabs>
        <w:ind w:leftChars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ro-RO"/>
        </w:rPr>
      </w:pPr>
      <w:r>
        <w:rPr>
          <w:rFonts w:hint="default" w:cs="Times New Roman"/>
          <w:b/>
          <w:bCs/>
          <w:color w:val="auto"/>
          <w:sz w:val="24"/>
          <w:szCs w:val="24"/>
          <w:lang w:val="ro-RO"/>
        </w:rPr>
        <w:t>Auditor clasa I gradul profesional Superior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- </w:t>
      </w:r>
      <w:r>
        <w:rPr>
          <w:rFonts w:hint="default" w:cs="Times New Roman"/>
          <w:b/>
          <w:bCs/>
          <w:color w:val="auto"/>
          <w:sz w:val="24"/>
          <w:szCs w:val="24"/>
          <w:lang w:val="ro-RO"/>
        </w:rPr>
        <w:t>Compartimentul Audit</w:t>
      </w:r>
    </w:p>
    <w:p>
      <w:pPr>
        <w:pStyle w:val="6"/>
        <w:numPr>
          <w:ilvl w:val="0"/>
          <w:numId w:val="0"/>
        </w:numPr>
        <w:tabs>
          <w:tab w:val="center" w:pos="0"/>
        </w:tabs>
        <w:ind w:leftChars="0"/>
        <w:jc w:val="left"/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  <w:lang w:val="ro-RO"/>
        </w:rPr>
      </w:pPr>
    </w:p>
    <w:p>
      <w:pPr>
        <w:pStyle w:val="4"/>
        <w:numPr>
          <w:ilvl w:val="0"/>
          <w:numId w:val="1"/>
        </w:numPr>
        <w:bidi w:val="0"/>
        <w:ind w:leftChars="0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Constituţia României, republicată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cu tematica Titlul II, Capitolul II – Drepturile şi libertăţile fundamentale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2. Ordonanţa Guvernului nr. 137/2000 privind prevenirea şi sancţionarea tuturor formelor de discriminare, republicată, cu modificările şi completările ulterioare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cu tematica Capitolul I – Principii şi definiţii; Capitolul II, Secţiunea I – Secţiunea a V-a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3. Legea nr. 202/2002 privind egalitatea de şanse şi de tratament între femei şi bărbaţi, republicată, cu modificările şi completările ulterioare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cu tematica Capitolul II – Egalitatea de şanse şi de tratament între femei şi bărbaţi în domeniul muncii; Capitolul IV – Egalitatea de şanse între femei şi bărbaţi în ceea ce priveşte participarea la luarea deciziei.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4. Titlul I şi II ale părţii a VI-a din Ordonanţa de urgenţă a Guvernului nr. 57/2019, cu modificările şi completările ulterioare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cu tematica Titlul I şi titlul II ale părţii a VI-a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5. Legea nr. 672/2002 privind auditul public intern, republicată, cu modificările şi completările ulterioare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cu tematica - Organizarea activităţii de audit public intern- Capitolul II; - Desfăşurarea auditului public intern – Capitolul III; - Cadrul general de competenţe profesionale ale auditorilor interni în sectorul public – art. 20., alin. (3)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6. Hotărârea Guvernului nr. 1086/2013 pentru aprobarea Normelor generale privind exercitarea activităţii de audit public intern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cu tematica Aplicarea Normelor generale privind exercitarea activităţii de audit public intern – Partea I, Cap. II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7. Ordinul Secretariatului General al Guvernului nr. 600/2018 privind aprobarea Codul controlului intern managerial al entităţilor publice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cu tematica - Obiectivele Controlului Intern Managerial - Anexa 1, II punct 6; - Cerinţele Controlului Intern Managerial – Anexa 1, II punct 7; - Aplicarea standardului de audit public intern – Standardul 16 – Auditul intern.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8. Ordinul ministerului finanţelor publice nr. 252/2004 pentru aprobarea Codului privind conduita etică a auditorului intern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cu tematica - Principii fundamentale – Capitolul II, art.6; - Reguli de conduită – Capitolul III, art.7.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9. Legea nr.82/1991 a contabilităţii, republicată, cu modificările şi completările ulterioare;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cu tematica - Organizarea şi conducerea contabilităţii – Cap. II; - Situaţiile financiare – Cap. IV</w:t>
      </w:r>
    </w:p>
    <w:p>
      <w:pPr>
        <w:pStyle w:val="4"/>
        <w:numPr>
          <w:ilvl w:val="0"/>
          <w:numId w:val="2"/>
        </w:numPr>
        <w:bidi w:val="0"/>
        <w:jc w:val="both"/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ro-RO"/>
        </w:rPr>
      </w:pPr>
      <w:r>
        <w:rPr>
          <w:rStyle w:val="5"/>
          <w:rFonts w:hint="default" w:ascii="Times New Roman" w:hAnsi="Times New Roman" w:eastAsia="Open Sans" w:cs="Times New Roman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Legea 292</w:t>
      </w: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000000" w:themeColor="text1"/>
          <w:spacing w:val="0"/>
          <w:sz w:val="22"/>
          <w:szCs w:val="2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/20</w:t>
      </w: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auto"/>
        </w:rPr>
        <w:t>11 a</w:t>
      </w: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sistenţei sociale</w:t>
      </w: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ro-RO"/>
        </w:rPr>
        <w:t>, cu modificările și completările;</w:t>
      </w:r>
    </w:p>
    <w:p>
      <w:pPr>
        <w:pStyle w:val="4"/>
        <w:numPr>
          <w:ilvl w:val="0"/>
          <w:numId w:val="0"/>
        </w:numPr>
        <w:bidi w:val="0"/>
        <w:jc w:val="both"/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ro-RO"/>
        </w:rPr>
      </w:pPr>
      <w:r>
        <w:rPr>
          <w:rFonts w:hint="default" w:ascii="Times New Roman" w:hAnsi="Times New Roman" w:eastAsia="Open Sans" w:cs="Times New Roman"/>
          <w:b w:val="0"/>
          <w:bCs/>
          <w:i w:val="0"/>
          <w:color w:val="auto"/>
          <w:spacing w:val="0"/>
          <w:sz w:val="22"/>
          <w:szCs w:val="22"/>
          <w:shd w:val="clear" w:fill="FFFFFF"/>
          <w:lang w:val="ro-RO"/>
        </w:rPr>
        <w:t>c</w:t>
      </w: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ro-RO"/>
        </w:rPr>
        <w:t>u tematica Reglementări privind asistența socială;</w:t>
      </w:r>
    </w:p>
    <w:p>
      <w:pPr>
        <w:pStyle w:val="4"/>
        <w:numPr>
          <w:ilvl w:val="0"/>
          <w:numId w:val="2"/>
        </w:numPr>
        <w:bidi w:val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Style w:val="5"/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auto"/>
        </w:rPr>
        <w:t>Legea 272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auto"/>
        </w:rPr>
        <w:t>/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2004 privind protecţia şi promovarea drepturilor copilului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en-GB"/>
        </w:rPr>
        <w:t>, cu modific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ro-RO"/>
        </w:rPr>
        <w:t>ărileși completarile ulterioare;</w:t>
      </w:r>
    </w:p>
    <w:p>
      <w:pPr>
        <w:pStyle w:val="4"/>
        <w:numPr>
          <w:ilvl w:val="0"/>
          <w:numId w:val="0"/>
        </w:numPr>
        <w:bidi w:val="0"/>
        <w:ind w:leftChars="0"/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eastAsia="sans-serif" w:cs="Times New Roman"/>
          <w:b w:val="0"/>
          <w:bCs/>
          <w:i w:val="0"/>
          <w:color w:val="auto"/>
          <w:spacing w:val="0"/>
          <w:sz w:val="22"/>
          <w:szCs w:val="22"/>
          <w:shd w:val="clear" w:fill="FFFFFF"/>
          <w:lang w:val="ro-RO"/>
        </w:rPr>
        <w:t>c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ro-RO"/>
        </w:rPr>
        <w:t xml:space="preserve">u tematica Reglementări privind 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protecţia şi promovarea drepturilor copilului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ro-RO"/>
        </w:rPr>
        <w:t>;</w:t>
      </w:r>
    </w:p>
    <w:p>
      <w:pPr>
        <w:pStyle w:val="4"/>
        <w:numPr>
          <w:ilvl w:val="0"/>
          <w:numId w:val="2"/>
        </w:numPr>
        <w:bidi w:val="0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shd w:val="clear" w:color="FFFFFF" w:fill="D9D9D9"/>
          <w:lang w:val="en-US"/>
        </w:rPr>
      </w:pPr>
      <w:r>
        <w:rPr>
          <w:rStyle w:val="5"/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auto"/>
        </w:rPr>
        <w:t>Legea 448</w:t>
      </w: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auto"/>
        </w:rPr>
        <w:t>/2006 privind protecţia şi promovarea drepturilor persoanelor cu handicap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en-GB"/>
        </w:rPr>
        <w:t>, cu modific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ro-RO"/>
        </w:rPr>
        <w:t>ărileși completarile ulterioare;</w:t>
      </w:r>
    </w:p>
    <w:p>
      <w:pPr>
        <w:pStyle w:val="4"/>
        <w:numPr>
          <w:ilvl w:val="0"/>
          <w:numId w:val="0"/>
        </w:numPr>
        <w:bidi w:val="0"/>
        <w:ind w:leftChars="0"/>
        <w:jc w:val="both"/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shd w:val="clear" w:color="FFFFFF" w:fill="D9D9D9"/>
          <w:lang w:val="ro-RO"/>
        </w:rPr>
      </w:pPr>
      <w:r>
        <w:rPr>
          <w:rFonts w:hint="default" w:ascii="Times New Roman" w:hAnsi="Times New Roman" w:eastAsia="sans-serif" w:cs="Times New Roman"/>
          <w:b w:val="0"/>
          <w:bCs/>
          <w:i w:val="0"/>
          <w:color w:val="auto"/>
          <w:spacing w:val="0"/>
          <w:sz w:val="22"/>
          <w:szCs w:val="22"/>
          <w:shd w:val="clear" w:fill="FFFFFF"/>
          <w:lang w:val="ro-RO"/>
        </w:rPr>
        <w:t>c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ro-RO"/>
        </w:rPr>
        <w:t xml:space="preserve">u tematica Reglementări privind </w:t>
      </w: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auto"/>
        </w:rPr>
        <w:t>protecţia şi promovarea drepturilor persoanelor cu handicap</w:t>
      </w: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auto"/>
          <w:lang w:val="ro-RO"/>
        </w:rPr>
        <w:t>;</w:t>
      </w:r>
    </w:p>
    <w:p>
      <w:pPr>
        <w:pStyle w:val="4"/>
        <w:numPr>
          <w:ilvl w:val="0"/>
          <w:numId w:val="2"/>
        </w:numPr>
        <w:bidi w:val="0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shd w:val="clear" w:color="FFFFFF" w:fill="D9D9D9"/>
          <w:lang w:val="en-US"/>
        </w:rPr>
      </w:pP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Hotararea 797/2017 pentru aprobarea regulamentelor cadru de organizare şi funcţionare ale serviciilor publice de asistenţa socială şi a structurii orientative de personal</w:t>
      </w: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ro-RO"/>
        </w:rPr>
        <w:t>, cu modificările și completările ulterioare;</w:t>
      </w:r>
    </w:p>
    <w:p>
      <w:pPr>
        <w:pStyle w:val="4"/>
        <w:numPr>
          <w:ilvl w:val="0"/>
          <w:numId w:val="0"/>
        </w:numPr>
        <w:bidi w:val="0"/>
        <w:ind w:leftChars="0"/>
        <w:jc w:val="both"/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shd w:val="clear" w:color="auto" w:fill="auto"/>
          <w:lang w:val="ro-RO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shd w:val="clear" w:color="auto" w:fill="auto"/>
          <w:lang w:val="ro-RO"/>
        </w:rPr>
        <w:t xml:space="preserve">cu tematica Regelementări privind Anexa 1- </w:t>
      </w: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REGULAMENTUL-CADRU de organizare şi funcţionare al Direcţiei generale de asistenţă socială şi protecţia copilului</w:t>
      </w:r>
      <w:r>
        <w:rPr>
          <w:rFonts w:hint="default" w:ascii="Times New Roman" w:hAnsi="Times New Roman" w:eastAsia="Open Sans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ro-RO"/>
        </w:rPr>
        <w:t>;</w:t>
      </w:r>
    </w:p>
    <w:p>
      <w:pPr>
        <w:pStyle w:val="4"/>
        <w:numPr>
          <w:ilvl w:val="0"/>
          <w:numId w:val="2"/>
        </w:numPr>
        <w:bidi w:val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Regulamentul de organizare și funcționare a DGASPC S3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;</w:t>
      </w:r>
    </w:p>
    <w:p>
      <w:pPr>
        <w:pStyle w:val="4"/>
        <w:numPr>
          <w:ilvl w:val="0"/>
          <w:numId w:val="0"/>
        </w:numPr>
        <w:bidi w:val="0"/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cu tematica Reglementări privind organizarea și funcționarea DGASPC S3</w:t>
      </w:r>
    </w:p>
    <w:p>
      <w:pPr>
        <w:pStyle w:val="4"/>
        <w:numPr>
          <w:ilvl w:val="0"/>
          <w:numId w:val="2"/>
        </w:numPr>
        <w:bidi w:val="0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Regulamentul Intern al DGASPC S3</w:t>
      </w:r>
    </w:p>
    <w:p>
      <w:pPr>
        <w:pStyle w:val="4"/>
        <w:numPr>
          <w:ilvl w:val="0"/>
          <w:numId w:val="0"/>
        </w:numPr>
        <w:bidi w:val="0"/>
        <w:jc w:val="both"/>
        <w:rPr>
          <w:rFonts w:hint="default"/>
          <w:color w:val="000000"/>
          <w:sz w:val="22"/>
          <w:szCs w:val="22"/>
          <w:lang w:val="ro-RO" w:eastAsia="en-US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trike w:val="0"/>
          <w:dstrike w:val="0"/>
          <w:color w:val="auto"/>
          <w:sz w:val="22"/>
          <w:szCs w:val="22"/>
          <w:lang w:val="ro-RO"/>
        </w:rPr>
        <w:t xml:space="preserve">cu tematica Reglementări privind Regulamentul Intern al 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2"/>
          <w:szCs w:val="22"/>
          <w:lang w:val="ro-RO"/>
        </w:rPr>
        <w:t>DGASPC Sector 3</w:t>
      </w:r>
    </w:p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9550E1"/>
    <w:multiLevelType w:val="singleLevel"/>
    <w:tmpl w:val="A49550E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7429E32"/>
    <w:multiLevelType w:val="singleLevel"/>
    <w:tmpl w:val="F7429E32"/>
    <w:lvl w:ilvl="0" w:tentative="0">
      <w:start w:val="1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63228"/>
    <w:rsid w:val="02B63228"/>
    <w:rsid w:val="08792068"/>
    <w:rsid w:val="35EC4972"/>
    <w:rsid w:val="48A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o-RO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5">
    <w:name w:val="Emphasis"/>
    <w:basedOn w:val="2"/>
    <w:qFormat/>
    <w:uiPriority w:val="0"/>
    <w:rPr>
      <w:i/>
      <w:iCs/>
    </w:rPr>
  </w:style>
  <w:style w:type="paragraph" w:styleId="6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2023-04-10T06:03:00Z</dcterms:created>
  <dc:creator>nina.stefanescu</dc:creator>
  <cp:lastModifiedBy>iulia.salvaroschi</cp:lastModifiedBy>
  <dcterms:modified xsi:type="dcterms:W3CDTF">2023-04-13T07:30:31Z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CF18D48154434BD5B6FC9910854822F1</vt:lpwstr>
  </property>
</Properties>
</file>