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</w:rPr>
        <w:t>Atribuţii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stabilite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fişa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postului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- Consilier clasa I, grad Principal - Compartiment Elaborare Caiete de Sarcini</w:t>
      </w:r>
    </w:p>
    <w:p>
      <w:pPr>
        <w:pStyle w:val="5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sz w:val="22"/>
          <w:szCs w:val="22"/>
          <w:lang w:val="ro-RO"/>
        </w:rPr>
        <w:t>îsi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/>
          <w:sz w:val="22"/>
          <w:szCs w:val="22"/>
          <w:lang w:val="ro-RO"/>
        </w:rPr>
        <w:t>î</w:t>
      </w:r>
      <w:r>
        <w:rPr>
          <w:rFonts w:hint="default" w:ascii="Times New Roman" w:hAnsi="Times New Roman"/>
          <w:sz w:val="22"/>
          <w:szCs w:val="22"/>
          <w:lang w:val="en-US"/>
        </w:rPr>
        <w:t>nsu</w:t>
      </w:r>
      <w:r>
        <w:rPr>
          <w:rFonts w:hint="default" w:ascii="Times New Roman" w:hAnsi="Times New Roman"/>
          <w:sz w:val="22"/>
          <w:szCs w:val="22"/>
          <w:lang w:val="ro-RO"/>
        </w:rPr>
        <w:t>ș</w:t>
      </w:r>
      <w:r>
        <w:rPr>
          <w:rFonts w:hint="default" w:ascii="Times New Roman" w:hAnsi="Times New Roman"/>
          <w:sz w:val="22"/>
          <w:szCs w:val="22"/>
          <w:lang w:val="en-US"/>
        </w:rPr>
        <w:t>e</w:t>
      </w:r>
      <w:r>
        <w:rPr>
          <w:rFonts w:hint="default" w:ascii="Times New Roman" w:hAnsi="Times New Roman"/>
          <w:sz w:val="22"/>
          <w:szCs w:val="22"/>
          <w:lang w:val="ro-RO"/>
        </w:rPr>
        <w:t>ș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te </w:t>
      </w:r>
      <w:r>
        <w:rPr>
          <w:rFonts w:hint="default" w:ascii="Times New Roman" w:hAnsi="Times New Roman"/>
          <w:sz w:val="22"/>
          <w:szCs w:val="22"/>
          <w:lang w:val="ro-RO"/>
        </w:rPr>
        <w:t>ș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i respecta </w:t>
      </w:r>
      <w:r>
        <w:rPr>
          <w:rFonts w:hint="default" w:ascii="Times New Roman" w:hAnsi="Times New Roman"/>
          <w:sz w:val="22"/>
          <w:szCs w:val="22"/>
          <w:lang w:val="ro-RO"/>
        </w:rPr>
        <w:t>legislația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/>
          <w:sz w:val="22"/>
          <w:szCs w:val="22"/>
          <w:lang w:val="ro-RO"/>
        </w:rPr>
        <w:t>î</w:t>
      </w:r>
      <w:r>
        <w:rPr>
          <w:rFonts w:hint="default" w:ascii="Times New Roman" w:hAnsi="Times New Roman"/>
          <w:sz w:val="22"/>
          <w:szCs w:val="22"/>
          <w:lang w:val="en-US"/>
        </w:rPr>
        <w:t>n viguare</w:t>
      </w:r>
      <w:r>
        <w:rPr>
          <w:rFonts w:hint="default" w:ascii="Times New Roman" w:hAnsi="Times New Roman"/>
          <w:sz w:val="22"/>
          <w:szCs w:val="22"/>
          <w:lang w:val="ro-RO"/>
        </w:rPr>
        <w:t>.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iCs/>
          <w:sz w:val="22"/>
          <w:szCs w:val="22"/>
          <w:lang w:val="ro-RO"/>
        </w:rPr>
        <w:t>r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ealizeaza prospectarea 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>pieței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acolo unde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 xml:space="preserve"> este cazul pentru contractele ce au ca obiect 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funizarea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 xml:space="preserve"> de bunuri 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sau 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 xml:space="preserve"> realizarea de lucrări de reparatii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au obiect specific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 xml:space="preserve"> nerealizat anteriror de autoritatea contractanta.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v</w:t>
      </w:r>
      <w:r>
        <w:rPr>
          <w:rFonts w:hint="default" w:ascii="Times New Roman" w:hAnsi="Times New Roman" w:eastAsia="SimSun" w:cs="Times New Roman"/>
          <w:sz w:val="22"/>
          <w:szCs w:val="22"/>
        </w:rPr>
        <w:t>erific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ă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con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ț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inutul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și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încadrarea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î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n prevederile legale a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documentațiilor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tehnico – economice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 pentru </w:t>
      </w:r>
      <w:r>
        <w:rPr>
          <w:rFonts w:hint="default" w:ascii="Times New Roman" w:hAnsi="Times New Roman" w:eastAsia="SimSun" w:cs="Times New Roman"/>
          <w:sz w:val="22"/>
          <w:szCs w:val="22"/>
          <w:lang w:val="en-US"/>
        </w:rPr>
        <w:t xml:space="preserve">contractele de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furnizarea de bunuri si lucrari 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;  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en-US"/>
        </w:rPr>
        <w:t>A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sigura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confidențialitatea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î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n ceea ce priveste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soluțiile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și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valorile unor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documentații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prevazute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î</w:t>
      </w:r>
      <w:r>
        <w:rPr>
          <w:rFonts w:hint="default" w:ascii="Times New Roman" w:hAnsi="Times New Roman" w:eastAsia="SimSun" w:cs="Times New Roman"/>
          <w:sz w:val="22"/>
          <w:szCs w:val="22"/>
        </w:rPr>
        <w:t>n actele normative;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iCs/>
          <w:sz w:val="22"/>
          <w:szCs w:val="22"/>
          <w:lang w:val="ro-RO"/>
        </w:rPr>
        <w:t>î</w:t>
      </w:r>
      <w:r>
        <w:rPr>
          <w:rFonts w:ascii="Times New Roman" w:hAnsi="Times New Roman"/>
          <w:iCs/>
          <w:sz w:val="22"/>
          <w:szCs w:val="22"/>
          <w:lang w:val="en-US"/>
        </w:rPr>
        <w:t>ntocmirea</w:t>
      </w:r>
      <w:r>
        <w:rPr>
          <w:rFonts w:ascii="Times New Roman" w:hAnsi="Times New Roman"/>
          <w:iCs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>caietelor de sarcini pentru contractele de furnizare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 xml:space="preserve"> bunuri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>și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>lucrări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>de reparatii</w:t>
      </w:r>
      <w:r>
        <w:rPr>
          <w:rFonts w:ascii="Times New Roman" w:hAnsi="Times New Roman"/>
          <w:iCs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>in</w:t>
      </w:r>
      <w:r>
        <w:rPr>
          <w:rFonts w:ascii="Times New Roman" w:hAnsi="Times New Roman"/>
          <w:sz w:val="22"/>
          <w:szCs w:val="22"/>
        </w:rPr>
        <w:t xml:space="preserve"> baza </w:t>
      </w:r>
      <w:r>
        <w:rPr>
          <w:rFonts w:ascii="Times New Roman" w:hAnsi="Times New Roman"/>
          <w:sz w:val="22"/>
          <w:szCs w:val="22"/>
          <w:lang w:val="ro-RO"/>
        </w:rPr>
        <w:t>documentației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hint="default" w:ascii="Times New Roman" w:hAnsi="Times New Roman"/>
          <w:sz w:val="22"/>
          <w:szCs w:val="22"/>
          <w:lang w:val="en-US"/>
        </w:rPr>
        <w:t>descriptive</w:t>
      </w:r>
      <w:r>
        <w:rPr>
          <w:rFonts w:hint="default" w:ascii="Times New Roman" w:hAnsi="Times New Roman"/>
          <w:sz w:val="22"/>
          <w:szCs w:val="22"/>
          <w:lang w:val="ro-RO"/>
        </w:rPr>
        <w:t xml:space="preserve">, 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 catitative</w:t>
      </w:r>
      <w:r>
        <w:rPr>
          <w:rFonts w:hint="default" w:ascii="Times New Roman" w:hAnsi="Times New Roman"/>
          <w:sz w:val="22"/>
          <w:szCs w:val="22"/>
          <w:lang w:val="ro-RO"/>
        </w:rPr>
        <w:t xml:space="preserve"> si  valorice</w:t>
      </w:r>
      <w:r>
        <w:rPr>
          <w:rFonts w:ascii="Times New Roman" w:hAnsi="Times New Roman"/>
          <w:sz w:val="22"/>
          <w:szCs w:val="22"/>
        </w:rPr>
        <w:t xml:space="preserve"> de la serviciile </w:t>
      </w:r>
      <w:r>
        <w:rPr>
          <w:rFonts w:ascii="Times New Roman" w:hAnsi="Times New Roman"/>
          <w:sz w:val="22"/>
          <w:szCs w:val="22"/>
          <w:lang w:val="ro-RO"/>
        </w:rPr>
        <w:t>și</w:t>
      </w:r>
      <w:r>
        <w:rPr>
          <w:rFonts w:ascii="Times New Roman" w:hAnsi="Times New Roman"/>
          <w:sz w:val="22"/>
          <w:szCs w:val="22"/>
        </w:rPr>
        <w:t xml:space="preserve"> compartimentele din cadrul DGASPC Sector 3 care solicit</w:t>
      </w:r>
      <w:r>
        <w:rPr>
          <w:rFonts w:ascii="Times New Roman" w:hAnsi="Times New Roman"/>
          <w:sz w:val="22"/>
          <w:szCs w:val="22"/>
          <w:lang w:val="ro-RO"/>
        </w:rPr>
        <w:t>ă</w:t>
      </w:r>
      <w:r>
        <w:rPr>
          <w:rFonts w:ascii="Times New Roman" w:hAnsi="Times New Roman"/>
          <w:sz w:val="22"/>
          <w:szCs w:val="22"/>
        </w:rPr>
        <w:t xml:space="preserve"> demararea acestora</w:t>
      </w:r>
      <w:r>
        <w:rPr>
          <w:rFonts w:hint="default" w:ascii="Times New Roman" w:hAnsi="Times New Roman"/>
          <w:sz w:val="22"/>
          <w:szCs w:val="22"/>
          <w:lang w:val="ro-RO"/>
        </w:rPr>
        <w:t>. Caiet</w:t>
      </w:r>
      <w:r>
        <w:rPr>
          <w:rFonts w:hint="default" w:ascii="Times New Roman" w:hAnsi="Times New Roman"/>
          <w:sz w:val="22"/>
          <w:szCs w:val="22"/>
          <w:lang w:val="en-US"/>
        </w:rPr>
        <w:t>ele</w:t>
      </w:r>
      <w:r>
        <w:rPr>
          <w:rFonts w:hint="default" w:ascii="Times New Roman" w:hAnsi="Times New Roman"/>
          <w:sz w:val="22"/>
          <w:szCs w:val="22"/>
          <w:lang w:val="ro-RO"/>
        </w:rPr>
        <w:t xml:space="preserve"> de sarcini v</w:t>
      </w:r>
      <w:r>
        <w:rPr>
          <w:rFonts w:hint="default" w:ascii="Times New Roman" w:hAnsi="Times New Roman"/>
          <w:sz w:val="22"/>
          <w:szCs w:val="22"/>
          <w:lang w:val="en-US"/>
        </w:rPr>
        <w:t>or</w:t>
      </w:r>
      <w:r>
        <w:rPr>
          <w:rFonts w:hint="default" w:ascii="Times New Roman" w:hAnsi="Times New Roman"/>
          <w:sz w:val="22"/>
          <w:szCs w:val="22"/>
          <w:lang w:val="ro-RO"/>
        </w:rPr>
        <w:t xml:space="preserve"> fi intocmit</w:t>
      </w:r>
      <w:r>
        <w:rPr>
          <w:rFonts w:hint="default" w:ascii="Times New Roman" w:hAnsi="Times New Roman"/>
          <w:sz w:val="22"/>
          <w:szCs w:val="22"/>
          <w:lang w:val="en-US"/>
        </w:rPr>
        <w:t>e</w:t>
      </w:r>
      <w:r>
        <w:rPr>
          <w:rFonts w:hint="default" w:ascii="Times New Roman" w:hAnsi="Times New Roman"/>
          <w:sz w:val="22"/>
          <w:szCs w:val="22"/>
          <w:lang w:val="ro-RO"/>
        </w:rPr>
        <w:t xml:space="preserve"> in forma finala in baza documentelor emise de departamentele de specialitate aprobate in prealabil.</w:t>
      </w:r>
    </w:p>
    <w:p>
      <w:pPr>
        <w:pStyle w:val="5"/>
        <w:numPr>
          <w:ilvl w:val="0"/>
          <w:numId w:val="1"/>
        </w:numPr>
        <w:spacing w:line="360" w:lineRule="auto"/>
        <w:jc w:val="left"/>
        <w:rPr>
          <w:rFonts w:hint="default"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iCs/>
          <w:sz w:val="22"/>
          <w:szCs w:val="22"/>
          <w:lang w:val="ro-RO"/>
        </w:rPr>
        <w:t>realizează punerea în corespondență cu sistemul de grupare şi codificare utilizat în Vocabularul comun</w:t>
      </w:r>
    </w:p>
    <w:p>
      <w:pPr>
        <w:pStyle w:val="5"/>
        <w:numPr>
          <w:ilvl w:val="0"/>
          <w:numId w:val="0"/>
        </w:numPr>
        <w:spacing w:line="360" w:lineRule="auto"/>
        <w:ind w:left="468" w:leftChars="234" w:firstLine="220" w:firstLineChars="100"/>
        <w:jc w:val="left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iCs/>
          <w:sz w:val="22"/>
          <w:szCs w:val="22"/>
          <w:lang w:val="ro-RO"/>
        </w:rPr>
        <w:t>al achizițiilor publice (CPV- Common Procurement Vocabulary CPV), a produselor și serviciilor ce fac   obiectul contractelor de achiziție publică pe care le gestionează.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c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olaborează cu compartimentele funcționale implicate ale </w:t>
      </w:r>
      <w:r>
        <w:rPr>
          <w:rFonts w:hint="default" w:ascii="Times New Roman" w:hAnsi="Times New Roman" w:eastAsia="SimSun" w:cs="Times New Roman"/>
          <w:sz w:val="22"/>
          <w:szCs w:val="22"/>
          <w:lang w:val="en-US"/>
        </w:rPr>
        <w:t>DGASPC Sector 3</w:t>
      </w:r>
      <w:r>
        <w:rPr>
          <w:rFonts w:hint="default" w:ascii="Times New Roman" w:hAnsi="Times New Roman" w:eastAsia="SimSun" w:cs="Times New Roman"/>
          <w:sz w:val="22"/>
          <w:szCs w:val="22"/>
        </w:rPr>
        <w:t>, parteneri instituționali, inclusiv cu contractori și consultanți implicați în elaborarea caietelor de sarcini pentru achiziții publice specifice</w:t>
      </w:r>
      <w:r>
        <w:rPr>
          <w:rFonts w:hint="default" w:ascii="Times New Roman" w:hAnsi="Times New Roman" w:eastAsia="SimSun" w:cs="Times New Roman"/>
          <w:sz w:val="22"/>
          <w:szCs w:val="22"/>
          <w:lang w:val="en-US"/>
        </w:rPr>
        <w:t xml:space="preserve"> de furnizare bunui si lucrari - daca este cazul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>î</w:t>
      </w:r>
      <w:r>
        <w:rPr>
          <w:rFonts w:ascii="Times New Roman" w:hAnsi="Times New Roman"/>
          <w:iCs/>
          <w:sz w:val="22"/>
          <w:szCs w:val="22"/>
          <w:lang w:val="ro-RO"/>
        </w:rPr>
        <w:t>ndeplinește calitatea de membru al comisiei de evaluare cu atributiile specifice acesteia conform legislatiei in viguare ( Legea 98/2016; Hotararea 395/2016), precum si asigurarea din punct de vedere organizatoric al secretariatului acesteia;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iCs/>
          <w:sz w:val="22"/>
          <w:szCs w:val="22"/>
          <w:lang w:val="ro-RO"/>
        </w:rPr>
        <w:t>verifică, din punct de vedere tehnic de specialitate, ofertele de bunuri, lucrari;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iCs/>
          <w:sz w:val="22"/>
          <w:szCs w:val="22"/>
          <w:lang w:val="ro-RO"/>
        </w:rPr>
        <w:t>întocmeste informări în domeniile de specialitate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pentru care 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>întocmește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caietele de sarcini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>;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en-US"/>
        </w:rPr>
        <w:t>îndeplinește</w:t>
      </w:r>
      <w:r>
        <w:rPr>
          <w:rFonts w:ascii="Times New Roman" w:hAnsi="Times New Roman"/>
          <w:iCs/>
          <w:sz w:val="22"/>
          <w:szCs w:val="22"/>
          <w:lang w:val="ro-RO"/>
        </w:rPr>
        <w:t xml:space="preserve"> si alte sarcini de serviciu trasate de seful direct sub rezerva legalitatii lor;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asigura realizarea de calitate si in termenele stabilite de lege a sarcinilor ce decurg din acesta fisa a postului, raspunzand de indeplinirea lor in fata sefilor ierarhici;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respecta regulile de disciplina a muncii;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respecta prevederile cuprinse in regulamentul intern al institutiei;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cunoaste si pune in aplicare legislatia in vigoare specifica domeniului de activitate;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respectarea Procedurilor Operationale de la nivelul serviciul precum si a procedurilor de sistem de la nivelul institutiei, implementarea conform O.M.F.P. nr.946/2005 (r1);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respectarea si cunoasterea aplicarii R.I. – ului si a R.O.F. – ului;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cunoasterea si respectarea Codului de Conduita al functionarilor publici/personalului contractual;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asigura confidentialitatea lucrarilor si informatiilor din cadrul serviciului cu exceptia celor de interes public prevazute de lege si solicitate la cerere;</w:t>
      </w:r>
    </w:p>
    <w:p>
      <w:pPr>
        <w:pStyle w:val="5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colaboreaza cu celelalte compartimente din cadrul institutiei pentru indeplinirea atributiilor specifice ce ii revin;</w:t>
      </w:r>
    </w:p>
    <w:p>
      <w:pPr>
        <w:ind w:left="-35" w:leftChars="-199" w:right="320" w:rightChars="160" w:hanging="363" w:hangingChars="165"/>
        <w:rPr>
          <w:sz w:val="22"/>
          <w:szCs w:val="22"/>
        </w:rPr>
      </w:pPr>
    </w:p>
    <w:p>
      <w:pPr>
        <w:pStyle w:val="2"/>
        <w:ind w:left="-1000" w:leftChars="-500" w:firstLine="0" w:firstLine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2"/>
        <w:ind w:left="400" w:leftChars="200" w:firstLine="0" w:firstLineChars="0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sz w:val="24"/>
          <w:szCs w:val="24"/>
        </w:rPr>
        <w:t>Atribuţii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stabilite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în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fişa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postului</w:t>
      </w:r>
      <w:r>
        <w:rPr>
          <w:rFonts w:hint="default" w:ascii="Times New Roman" w:hAnsi="Times New Roman" w:cs="Times New Roman"/>
          <w:sz w:val="24"/>
          <w:szCs w:val="24"/>
          <w:lang w:val="ro-RO"/>
        </w:rPr>
        <w:t xml:space="preserve"> - Consilier clasa I, grad Superior - Compartiment Elaborare Caiete de Sarcini</w:t>
      </w:r>
    </w:p>
    <w:p>
      <w:pPr>
        <w:pStyle w:val="5"/>
        <w:ind w:left="0" w:leftChars="0" w:firstLine="0" w:firstLineChars="0"/>
        <w:rPr>
          <w:spacing w:val="-2"/>
        </w:rPr>
      </w:pP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sz w:val="22"/>
          <w:szCs w:val="22"/>
          <w:lang w:val="ro-RO"/>
        </w:rPr>
        <w:t>îsi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/>
          <w:sz w:val="22"/>
          <w:szCs w:val="22"/>
          <w:lang w:val="ro-RO"/>
        </w:rPr>
        <w:t>î</w:t>
      </w:r>
      <w:r>
        <w:rPr>
          <w:rFonts w:hint="default" w:ascii="Times New Roman" w:hAnsi="Times New Roman"/>
          <w:sz w:val="22"/>
          <w:szCs w:val="22"/>
          <w:lang w:val="en-US"/>
        </w:rPr>
        <w:t>nsu</w:t>
      </w:r>
      <w:r>
        <w:rPr>
          <w:rFonts w:hint="default" w:ascii="Times New Roman" w:hAnsi="Times New Roman"/>
          <w:sz w:val="22"/>
          <w:szCs w:val="22"/>
          <w:lang w:val="ro-RO"/>
        </w:rPr>
        <w:t>ș</w:t>
      </w:r>
      <w:r>
        <w:rPr>
          <w:rFonts w:hint="default" w:ascii="Times New Roman" w:hAnsi="Times New Roman"/>
          <w:sz w:val="22"/>
          <w:szCs w:val="22"/>
          <w:lang w:val="en-US"/>
        </w:rPr>
        <w:t>e</w:t>
      </w:r>
      <w:r>
        <w:rPr>
          <w:rFonts w:hint="default" w:ascii="Times New Roman" w:hAnsi="Times New Roman"/>
          <w:sz w:val="22"/>
          <w:szCs w:val="22"/>
          <w:lang w:val="ro-RO"/>
        </w:rPr>
        <w:t>ș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te </w:t>
      </w:r>
      <w:r>
        <w:rPr>
          <w:rFonts w:hint="default" w:ascii="Times New Roman" w:hAnsi="Times New Roman"/>
          <w:sz w:val="22"/>
          <w:szCs w:val="22"/>
          <w:lang w:val="ro-RO"/>
        </w:rPr>
        <w:t>ș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i respecta </w:t>
      </w:r>
      <w:r>
        <w:rPr>
          <w:rFonts w:hint="default" w:ascii="Times New Roman" w:hAnsi="Times New Roman"/>
          <w:sz w:val="22"/>
          <w:szCs w:val="22"/>
          <w:lang w:val="ro-RO"/>
        </w:rPr>
        <w:t>legislația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/>
          <w:sz w:val="22"/>
          <w:szCs w:val="22"/>
          <w:lang w:val="ro-RO"/>
        </w:rPr>
        <w:t>î</w:t>
      </w:r>
      <w:r>
        <w:rPr>
          <w:rFonts w:hint="default" w:ascii="Times New Roman" w:hAnsi="Times New Roman"/>
          <w:sz w:val="22"/>
          <w:szCs w:val="22"/>
          <w:lang w:val="en-US"/>
        </w:rPr>
        <w:t>n viguare</w:t>
      </w:r>
      <w:r>
        <w:rPr>
          <w:rFonts w:ascii="Times New Roman" w:hAnsi="Times New Roman"/>
          <w:sz w:val="22"/>
          <w:szCs w:val="22"/>
        </w:rPr>
        <w:t>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iCs/>
          <w:sz w:val="22"/>
          <w:szCs w:val="22"/>
          <w:lang w:val="ro-RO"/>
        </w:rPr>
        <w:t>r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ealizeaza prospectarea 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>pieței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acolo unde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 xml:space="preserve"> este cazul pentru contractele ce au ca obiect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diverse tipuri de 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 xml:space="preserve"> servicii sociale sau diverse tipuri de servicii de tip abomanent sau 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>“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>one time only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>” cu  obiect specific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 xml:space="preserve"> nerealizat anteriror de autoritatea contractanta.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hint="default" w:ascii="Times New Roman" w:hAnsi="Times New Roman" w:cs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v</w:t>
      </w:r>
      <w:r>
        <w:rPr>
          <w:rFonts w:hint="default" w:ascii="Times New Roman" w:hAnsi="Times New Roman" w:eastAsia="SimSun" w:cs="Times New Roman"/>
          <w:sz w:val="22"/>
          <w:szCs w:val="22"/>
        </w:rPr>
        <w:t>erific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ă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con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ț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inutul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și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încadrarea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î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n prevederile legale a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documentațiilor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tehnico – economice</w:t>
      </w:r>
      <w:r>
        <w:rPr>
          <w:rFonts w:hint="default" w:ascii="Times New Roman" w:hAnsi="Times New Roman" w:eastAsia="SimSun" w:cs="Times New Roman"/>
          <w:sz w:val="22"/>
          <w:szCs w:val="22"/>
          <w:lang w:val="en-US"/>
        </w:rPr>
        <w:t xml:space="preserve"> pentru contractele de servicii si servicii sociale incadrate in Anexa 2 din Legea 98/2016 privind achizitiile publice 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;  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hint="default" w:ascii="Times New Roman" w:hAnsi="Times New Roman" w:cs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en-US"/>
        </w:rPr>
        <w:t>A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sigura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confidențialitatea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î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n ceea ce priveste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soluțiile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și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valorile unor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documentații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 prevazute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î</w:t>
      </w:r>
      <w:r>
        <w:rPr>
          <w:rFonts w:hint="default" w:ascii="Times New Roman" w:hAnsi="Times New Roman" w:eastAsia="SimSun" w:cs="Times New Roman"/>
          <w:sz w:val="22"/>
          <w:szCs w:val="22"/>
        </w:rPr>
        <w:t>n actele normative;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iCs/>
          <w:sz w:val="22"/>
          <w:szCs w:val="22"/>
          <w:lang w:val="ro-RO"/>
        </w:rPr>
        <w:t>î</w:t>
      </w:r>
      <w:r>
        <w:rPr>
          <w:rFonts w:ascii="Times New Roman" w:hAnsi="Times New Roman"/>
          <w:iCs/>
          <w:sz w:val="22"/>
          <w:szCs w:val="22"/>
          <w:lang w:val="en-US"/>
        </w:rPr>
        <w:t>ntocmirea</w:t>
      </w:r>
      <w:r>
        <w:rPr>
          <w:rFonts w:ascii="Times New Roman" w:hAnsi="Times New Roman"/>
          <w:iCs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caietelor de sarcini pentru contractele de 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>servicii si servicii incadrate in categoria celor din Anexa 2</w:t>
      </w:r>
      <w:r>
        <w:rPr>
          <w:rFonts w:ascii="Times New Roman" w:hAnsi="Times New Roman"/>
          <w:iCs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potrivit Legii 98/2016 privind achizitiile publice. Caietele de sarcini se vor intocmi  </w:t>
      </w:r>
      <w:r>
        <w:rPr>
          <w:rFonts w:ascii="Times New Roman" w:hAnsi="Times New Roman"/>
          <w:sz w:val="22"/>
          <w:szCs w:val="22"/>
        </w:rPr>
        <w:t xml:space="preserve">pe baza </w:t>
      </w:r>
      <w:r>
        <w:rPr>
          <w:rFonts w:ascii="Times New Roman" w:hAnsi="Times New Roman"/>
          <w:sz w:val="22"/>
          <w:szCs w:val="22"/>
          <w:lang w:val="ro-RO"/>
        </w:rPr>
        <w:t>documentației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descriptive </w:t>
      </w:r>
      <w:r>
        <w:rPr>
          <w:rFonts w:hint="default" w:ascii="Times New Roman" w:hAnsi="Times New Roman"/>
          <w:sz w:val="22"/>
          <w:szCs w:val="22"/>
          <w:lang w:val="ro-RO"/>
        </w:rPr>
        <w:t>și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 catitative si valorice </w:t>
      </w:r>
      <w:r>
        <w:rPr>
          <w:rFonts w:ascii="Times New Roman" w:hAnsi="Times New Roman"/>
          <w:sz w:val="22"/>
          <w:szCs w:val="22"/>
        </w:rPr>
        <w:t xml:space="preserve">primite de la serviciile </w:t>
      </w:r>
      <w:r>
        <w:rPr>
          <w:rFonts w:ascii="Times New Roman" w:hAnsi="Times New Roman"/>
          <w:sz w:val="22"/>
          <w:szCs w:val="22"/>
          <w:lang w:val="ro-RO"/>
        </w:rPr>
        <w:t>și</w:t>
      </w:r>
      <w:r>
        <w:rPr>
          <w:rFonts w:ascii="Times New Roman" w:hAnsi="Times New Roman"/>
          <w:sz w:val="22"/>
          <w:szCs w:val="22"/>
        </w:rPr>
        <w:t xml:space="preserve"> compartimentele din cadrul DGASPC Sector 3 care solicit</w:t>
      </w:r>
      <w:r>
        <w:rPr>
          <w:rFonts w:ascii="Times New Roman" w:hAnsi="Times New Roman"/>
          <w:sz w:val="22"/>
          <w:szCs w:val="22"/>
          <w:lang w:val="ro-RO"/>
        </w:rPr>
        <w:t>ă</w:t>
      </w:r>
      <w:r>
        <w:rPr>
          <w:rFonts w:ascii="Times New Roman" w:hAnsi="Times New Roman"/>
          <w:sz w:val="22"/>
          <w:szCs w:val="22"/>
        </w:rPr>
        <w:t xml:space="preserve"> demararea acestora</w:t>
      </w:r>
      <w:r>
        <w:rPr>
          <w:rFonts w:hint="default" w:ascii="Times New Roman" w:hAnsi="Times New Roman"/>
          <w:sz w:val="22"/>
          <w:szCs w:val="22"/>
          <w:lang w:val="en-US"/>
        </w:rPr>
        <w:t xml:space="preserve"> .</w:t>
      </w:r>
      <w:r>
        <w:rPr>
          <w:rFonts w:hint="default" w:ascii="Times New Roman" w:hAnsi="Times New Roman"/>
          <w:sz w:val="22"/>
          <w:szCs w:val="22"/>
          <w:lang w:val="ro-RO"/>
        </w:rPr>
        <w:t>Caietul de sarcini v</w:t>
      </w:r>
      <w:r>
        <w:rPr>
          <w:rFonts w:hint="default" w:ascii="Times New Roman" w:hAnsi="Times New Roman"/>
          <w:sz w:val="22"/>
          <w:szCs w:val="22"/>
          <w:lang w:val="en-US"/>
        </w:rPr>
        <w:t>or</w:t>
      </w:r>
      <w:r>
        <w:rPr>
          <w:rFonts w:hint="default" w:ascii="Times New Roman" w:hAnsi="Times New Roman"/>
          <w:sz w:val="22"/>
          <w:szCs w:val="22"/>
          <w:lang w:val="ro-RO"/>
        </w:rPr>
        <w:t xml:space="preserve"> fi intocmit</w:t>
      </w:r>
      <w:r>
        <w:rPr>
          <w:rFonts w:hint="default" w:ascii="Times New Roman" w:hAnsi="Times New Roman"/>
          <w:sz w:val="22"/>
          <w:szCs w:val="22"/>
          <w:lang w:val="en-US"/>
        </w:rPr>
        <w:t>e</w:t>
      </w:r>
      <w:r>
        <w:rPr>
          <w:rFonts w:hint="default" w:ascii="Times New Roman" w:hAnsi="Times New Roman"/>
          <w:sz w:val="22"/>
          <w:szCs w:val="22"/>
          <w:lang w:val="ro-RO"/>
        </w:rPr>
        <w:t xml:space="preserve"> in forma finala in baza documentelor emise de departamentele de specialitate aprobate in prealabil.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jc w:val="left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iCs/>
          <w:sz w:val="22"/>
          <w:szCs w:val="22"/>
          <w:lang w:val="ro-RO"/>
        </w:rPr>
        <w:t>realizează punerea în corespondență cu sistemul de grupare şi codificare utilizat în Vocabularul comun al achizițiilor publice (CPV- Common Procurement Vocabulary CPV), a produselor și serviciilor ce fac   obiectul contractelor de achiziție publică pe care le gestionează.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hint="default" w:ascii="Times New Roman" w:hAnsi="Times New Roman" w:cs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>c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olaborează cu compartimentele funcționale implicate ale </w:t>
      </w:r>
      <w:r>
        <w:rPr>
          <w:rFonts w:hint="default" w:ascii="Times New Roman" w:hAnsi="Times New Roman" w:eastAsia="SimSun" w:cs="Times New Roman"/>
          <w:sz w:val="22"/>
          <w:szCs w:val="22"/>
          <w:lang w:val="en-US"/>
        </w:rPr>
        <w:t>DGASPC Sector 3</w:t>
      </w:r>
      <w:r>
        <w:rPr>
          <w:rFonts w:hint="default" w:ascii="Times New Roman" w:hAnsi="Times New Roman" w:eastAsia="SimSun" w:cs="Times New Roman"/>
          <w:sz w:val="22"/>
          <w:szCs w:val="22"/>
        </w:rPr>
        <w:t xml:space="preserve">, parteneri instituționali, inclusiv cu contractori și consultanți implicați în elaborarea caietelor de sarcini </w:t>
      </w:r>
      <w:r>
        <w:rPr>
          <w:rFonts w:hint="default" w:ascii="Times New Roman" w:hAnsi="Times New Roman" w:eastAsia="SimSun" w:cs="Times New Roman"/>
          <w:sz w:val="22"/>
          <w:szCs w:val="22"/>
          <w:lang w:val="en-US"/>
        </w:rPr>
        <w:t xml:space="preserve">pentru </w:t>
      </w:r>
      <w:r>
        <w:rPr>
          <w:rFonts w:hint="default" w:ascii="Times New Roman" w:hAnsi="Times New Roman" w:eastAsia="SimSun" w:cs="Times New Roman"/>
          <w:sz w:val="22"/>
          <w:szCs w:val="22"/>
          <w:lang w:val="ro-RO"/>
        </w:rPr>
        <w:t xml:space="preserve"> servicii si servicii sociale</w:t>
      </w:r>
      <w:r>
        <w:rPr>
          <w:rFonts w:hint="default" w:ascii="Times New Roman" w:hAnsi="Times New Roman" w:eastAsia="SimSun" w:cs="Times New Roman"/>
          <w:sz w:val="22"/>
          <w:szCs w:val="22"/>
          <w:lang w:val="en-US"/>
        </w:rPr>
        <w:t xml:space="preserve"> prevazute in ANEXA 2  din Legea 98/2016 privind achizitiile publice - daca este cazul.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iCs/>
          <w:sz w:val="22"/>
          <w:szCs w:val="22"/>
          <w:lang w:val="ro-RO"/>
        </w:rPr>
        <w:t>î</w:t>
      </w:r>
      <w:r>
        <w:rPr>
          <w:rFonts w:ascii="Times New Roman" w:hAnsi="Times New Roman"/>
          <w:iCs/>
          <w:sz w:val="22"/>
          <w:szCs w:val="22"/>
          <w:lang w:val="ro-RO"/>
        </w:rPr>
        <w:t>ndeplinește calitatea de membru al comisiei de evaluare cu atributiile specifice acesteia conform legislatiei in viguare ( Legea 98/2016; Hotararea 395/2016), precum si asigurarea din punct de vedere organizatoric al secretariatului acesteia;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hint="default"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iCs/>
          <w:sz w:val="22"/>
          <w:szCs w:val="22"/>
          <w:lang w:val="ro-RO"/>
        </w:rPr>
        <w:t>verifică, din punct de vedere tehnic de specialitate, ofertele de servicii;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hint="default" w:ascii="Times New Roman" w:hAnsi="Times New Roman"/>
          <w:iCs/>
          <w:sz w:val="22"/>
          <w:szCs w:val="22"/>
          <w:lang w:val="ro-RO"/>
        </w:rPr>
      </w:pPr>
      <w:r>
        <w:rPr>
          <w:rFonts w:hint="default" w:ascii="Times New Roman" w:hAnsi="Times New Roman"/>
          <w:iCs/>
          <w:sz w:val="22"/>
          <w:szCs w:val="22"/>
          <w:lang w:val="ro-RO"/>
        </w:rPr>
        <w:t>întocmeste informări în domeniile de specialitate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pentru care 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>întocmește</w:t>
      </w:r>
      <w:r>
        <w:rPr>
          <w:rFonts w:hint="default" w:ascii="Times New Roman" w:hAnsi="Times New Roman"/>
          <w:iCs/>
          <w:sz w:val="22"/>
          <w:szCs w:val="22"/>
          <w:lang w:val="en-US"/>
        </w:rPr>
        <w:t xml:space="preserve"> caietele de sarcini</w:t>
      </w:r>
      <w:r>
        <w:rPr>
          <w:rFonts w:hint="default" w:ascii="Times New Roman" w:hAnsi="Times New Roman"/>
          <w:iCs/>
          <w:sz w:val="22"/>
          <w:szCs w:val="22"/>
          <w:lang w:val="ro-RO"/>
        </w:rPr>
        <w:t>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en-US"/>
        </w:rPr>
        <w:t>îndeplinește</w:t>
      </w:r>
      <w:r>
        <w:rPr>
          <w:rFonts w:ascii="Times New Roman" w:hAnsi="Times New Roman"/>
          <w:iCs/>
          <w:sz w:val="22"/>
          <w:szCs w:val="22"/>
          <w:lang w:val="ro-RO"/>
        </w:rPr>
        <w:t xml:space="preserve"> si alte sarcini de serviciu trasate de seful direct sub rezerva legalitatii lor;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asigura realizarea de calitate si in termenele stabilite de lege a sarcinilor ce decurg din acesta fisa a postului, raspunzand de indeplinirea lor in fata sefilor ierarhici;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respecta regulile de disciplina a muncii;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respecta prevederile cuprinse in regulamentul intern al institutiei;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cunoaste si pune in aplicare legislatia in vigoare specifica domeniului de activitate;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respectarea Procedurilor Operationale de la nivelul serviciul precum si a procedurilor de sistem de la nivelul institutiei, implementarea conform O.M.F.P. nr.946/2005 (r1);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respectarea si cunoasterea aplicarii R.I. – ului si a R.O.F. – ului;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cunoasterea si respectarea Codului de Conduita al functionarilor publici/personalului contractual;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rFonts w:ascii="Times New Roman" w:hAnsi="Times New Roman"/>
          <w:iCs/>
          <w:sz w:val="22"/>
          <w:szCs w:val="22"/>
          <w:lang w:val="ro-RO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asigura confidentialitatea lucrarilor si informatiilor din cadrul serviciului cu exceptia celor de interes public prevazute de lege si solicitate la cerere;</w:t>
      </w:r>
    </w:p>
    <w:p>
      <w:pPr>
        <w:pStyle w:val="5"/>
        <w:numPr>
          <w:ilvl w:val="0"/>
          <w:numId w:val="2"/>
        </w:numPr>
        <w:spacing w:line="360" w:lineRule="auto"/>
        <w:ind w:left="425" w:leftChars="0" w:hanging="65" w:firstLineChars="0"/>
        <w:rPr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  <w:lang w:val="ro-RO"/>
        </w:rPr>
        <w:t>colaboreaza cu celelalte compartimente din cadrul institutiei pentru indeplinirea atributiilor specifice ce ii revin;</w:t>
      </w:r>
    </w:p>
    <w:p>
      <w:pPr>
        <w:ind w:left="-1000" w:leftChars="-500" w:firstLine="0" w:firstLineChars="0"/>
      </w:pPr>
      <w:bookmarkStart w:id="0" w:name="_GoBack"/>
      <w:bookmarkEnd w:id="0"/>
    </w:p>
    <w:sectPr>
      <w:pgSz w:w="11906" w:h="16838"/>
      <w:pgMar w:top="1440" w:right="186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1"/>
    <w:family w:val="swiss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Noto Serif Light">
    <w:panose1 w:val="02020402060505020204"/>
    <w:charset w:val="00"/>
    <w:family w:val="auto"/>
    <w:pitch w:val="default"/>
    <w:sig w:usb0="E00002FF" w:usb1="4000001F" w:usb2="08000029" w:usb3="00100000" w:csb0="00000000" w:csb1="0000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adea">
    <w:panose1 w:val="02000506000000020000"/>
    <w:charset w:val="00"/>
    <w:family w:val="auto"/>
    <w:pitch w:val="default"/>
    <w:sig w:usb0="00000007" w:usb1="00000000" w:usb2="00000000" w:usb3="00000000" w:csb0="2000009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Gentium Basic">
    <w:panose1 w:val="02000503060000020004"/>
    <w:charset w:val="00"/>
    <w:family w:val="auto"/>
    <w:pitch w:val="default"/>
    <w:sig w:usb0="A000007F" w:usb1="5000204A" w:usb2="00000000" w:usb3="00000000" w:csb0="20000013" w:csb1="00000000"/>
  </w:font>
  <w:font w:name="Times-Roman-R">
    <w:altName w:val="Source Sans Pro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Source Sans Pro">
    <w:panose1 w:val="020B0503030403020204"/>
    <w:charset w:val="00"/>
    <w:family w:val="auto"/>
    <w:pitch w:val="default"/>
    <w:sig w:usb0="600002F7" w:usb1="02000001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BF997B"/>
    <w:multiLevelType w:val="multilevel"/>
    <w:tmpl w:val="CDBF997B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65" w:firstLineChars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425"/>
        </w:tabs>
        <w:ind w:left="425" w:leftChars="0" w:firstLine="655" w:firstLineChars="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425"/>
        </w:tabs>
        <w:ind w:left="425" w:leftChars="0" w:firstLine="1555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425"/>
        </w:tabs>
        <w:ind w:left="425" w:leftChars="0" w:firstLine="2095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25"/>
        </w:tabs>
        <w:ind w:left="425" w:leftChars="0" w:firstLine="2815" w:firstLineChars="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25"/>
        </w:tabs>
        <w:ind w:left="425" w:leftChars="0" w:firstLine="3715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425"/>
        </w:tabs>
        <w:ind w:left="425" w:leftChars="0" w:firstLine="4255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425"/>
        </w:tabs>
        <w:ind w:left="425" w:leftChars="0" w:firstLine="4975" w:firstLineChars="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425"/>
        </w:tabs>
        <w:ind w:left="425" w:leftChars="0" w:firstLine="5875" w:firstLineChars="0"/>
      </w:pPr>
      <w:rPr>
        <w:rFonts w:hint="default"/>
      </w:rPr>
    </w:lvl>
  </w:abstractNum>
  <w:abstractNum w:abstractNumId="1">
    <w:nsid w:val="6DA34BC0"/>
    <w:multiLevelType w:val="multilevel"/>
    <w:tmpl w:val="6DA34BC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64F34"/>
    <w:rsid w:val="0CB6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qFormat/>
    <w:uiPriority w:val="1"/>
    <w:pPr>
      <w:ind w:left="120"/>
      <w:outlineLvl w:val="1"/>
    </w:pPr>
    <w:rPr>
      <w:rFonts w:ascii="Segoe UI" w:hAnsi="Segoe UI" w:eastAsia="Segoe UI" w:cs="Segoe UI"/>
      <w:b/>
      <w:bCs/>
      <w:sz w:val="22"/>
      <w:szCs w:val="22"/>
      <w:lang w:val="ro-RO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120"/>
    </w:pPr>
    <w:rPr>
      <w:rFonts w:ascii="Segoe UI" w:hAnsi="Segoe UI" w:eastAsia="Segoe UI" w:cs="Segoe UI"/>
      <w:sz w:val="22"/>
      <w:szCs w:val="22"/>
      <w:lang w:val="ro-RO" w:eastAsia="en-US" w:bidi="ar-SA"/>
    </w:rPr>
  </w:style>
  <w:style w:type="paragraph" w:styleId="6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2024-04-15T10:57:00Z</dcterms:created>
  <dc:creator>nina.stefanescu</dc:creator>
  <cp:lastModifiedBy>nina.stefanescu</cp:lastModifiedBy>
  <dcterms:modified xsi:type="dcterms:W3CDTF">2024-04-15T11:53:11Z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2057-12.2.0.13359</vt:lpwstr>
  </property>
  <property fmtid="{D5CDD505-2E9C-101B-9397-08002B2CF9AE}" pid="3" name="ICV">
    <vt:lpwstr>B75CD2D9CAED4B14922B1BA0165C9B02_11</vt:lpwstr>
  </property>
</Properties>
</file>